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03" w:rsidRPr="000D2A63" w:rsidRDefault="00C30A03" w:rsidP="00C30A03">
      <w:pPr>
        <w:pStyle w:val="BodyText"/>
        <w:kinsoku w:val="0"/>
        <w:overflowPunct w:val="0"/>
        <w:ind w:left="0" w:right="640"/>
        <w:jc w:val="center"/>
        <w:rPr>
          <w:b/>
          <w:sz w:val="24"/>
          <w:szCs w:val="24"/>
        </w:rPr>
      </w:pPr>
      <w:r w:rsidRPr="000D2A63">
        <w:rPr>
          <w:b/>
          <w:sz w:val="24"/>
          <w:szCs w:val="24"/>
        </w:rPr>
        <w:t>Immediate Jeopardy Template</w:t>
      </w:r>
    </w:p>
    <w:p w:rsidR="00B21AF8" w:rsidRPr="000D2A63" w:rsidRDefault="00C30A03" w:rsidP="00C30A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A63">
        <w:rPr>
          <w:rFonts w:ascii="Times New Roman" w:hAnsi="Times New Roman" w:cs="Times New Roman"/>
          <w:sz w:val="24"/>
          <w:szCs w:val="24"/>
        </w:rPr>
        <w:t xml:space="preserve">*This template is meant to assist surveyors in making a </w:t>
      </w:r>
      <w:r w:rsidRPr="000D2A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preliminary </w:t>
      </w:r>
      <w:r w:rsidRPr="000D2A63">
        <w:rPr>
          <w:rFonts w:ascii="Times New Roman" w:hAnsi="Times New Roman" w:cs="Times New Roman"/>
          <w:sz w:val="24"/>
          <w:szCs w:val="24"/>
        </w:rPr>
        <w:t>determination of Immediate Jeopardy (IJ). When complete, a copy may be given to the entity.  Any information presented on this template is subject to change and does not reflect an official finding against a Medicare provider or supplier. Form CMS-2567 is the only form that contains official survey findings.</w:t>
      </w:r>
    </w:p>
    <w:p w:rsidR="00C30A03" w:rsidRPr="000D2A63" w:rsidRDefault="00C30A03" w:rsidP="00C30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A03" w:rsidRPr="000D2A63" w:rsidRDefault="00C30A03" w:rsidP="00C30A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A63">
        <w:rPr>
          <w:rFonts w:ascii="Times New Roman" w:hAnsi="Times New Roman" w:cs="Times New Roman"/>
          <w:b/>
          <w:bCs/>
          <w:sz w:val="24"/>
          <w:szCs w:val="24"/>
        </w:rPr>
        <w:t>Part 1 – Survey Team Determination of IJ – Instructions</w:t>
      </w:r>
      <w:r w:rsidRPr="000D2A63">
        <w:rPr>
          <w:rFonts w:ascii="Times New Roman" w:hAnsi="Times New Roman" w:cs="Times New Roman"/>
          <w:sz w:val="24"/>
          <w:szCs w:val="24"/>
        </w:rPr>
        <w:t>: The survey team must use evidence gathered from observation</w:t>
      </w:r>
      <w:r w:rsidR="000D2A63" w:rsidRPr="000D2A63">
        <w:rPr>
          <w:rFonts w:ascii="Times New Roman" w:hAnsi="Times New Roman" w:cs="Times New Roman"/>
          <w:sz w:val="24"/>
          <w:szCs w:val="24"/>
        </w:rPr>
        <w:t>s</w:t>
      </w:r>
      <w:r w:rsidRPr="000D2A63">
        <w:rPr>
          <w:rFonts w:ascii="Times New Roman" w:hAnsi="Times New Roman" w:cs="Times New Roman"/>
          <w:sz w:val="24"/>
          <w:szCs w:val="24"/>
        </w:rPr>
        <w:t xml:space="preserve">, interviews, and record reviews to carefully consider each component of IJ outlined in the left-hand column of this template. In order for IJ to exist, the survey team must answer “Yes” to all three components and provide a preliminary fact analysis in the right hand column to support their determination. </w:t>
      </w:r>
    </w:p>
    <w:p w:rsidR="00C30A03" w:rsidRPr="000D2A63" w:rsidRDefault="00C30A03" w:rsidP="00C30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A03" w:rsidRPr="000D2A63" w:rsidRDefault="00C30A03" w:rsidP="00C30A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A63">
        <w:rPr>
          <w:rFonts w:ascii="Times New Roman" w:hAnsi="Times New Roman" w:cs="Times New Roman"/>
          <w:sz w:val="24"/>
          <w:szCs w:val="24"/>
        </w:rPr>
        <w:t>For the purpose of completing this template, the following definitions apply:</w:t>
      </w:r>
    </w:p>
    <w:p w:rsidR="00C30A03" w:rsidRPr="000D2A63" w:rsidRDefault="00C30A03" w:rsidP="00C30A03">
      <w:pPr>
        <w:tabs>
          <w:tab w:val="left" w:pos="840"/>
        </w:tabs>
        <w:kinsoku w:val="0"/>
        <w:overflowPunct w:val="0"/>
        <w:spacing w:after="0"/>
        <w:rPr>
          <w:rFonts w:ascii="Times New Roman" w:hAnsi="Times New Roman" w:cs="Times New Roman"/>
          <w:sz w:val="24"/>
          <w:szCs w:val="24"/>
        </w:rPr>
      </w:pPr>
      <w:r w:rsidRPr="000D2A63">
        <w:rPr>
          <w:rFonts w:ascii="Times New Roman" w:hAnsi="Times New Roman" w:cs="Times New Roman"/>
          <w:b/>
          <w:bCs/>
          <w:sz w:val="24"/>
          <w:szCs w:val="24"/>
        </w:rPr>
        <w:t xml:space="preserve">Serious injury, serious harm, serious impairment or death </w:t>
      </w:r>
      <w:r w:rsidRPr="000D2A63">
        <w:rPr>
          <w:rFonts w:ascii="Times New Roman" w:hAnsi="Times New Roman" w:cs="Times New Roman"/>
          <w:sz w:val="24"/>
          <w:szCs w:val="24"/>
        </w:rPr>
        <w:t xml:space="preserve">are serious adverse outcomes </w:t>
      </w:r>
      <w:bookmarkStart w:id="0" w:name="_GoBack"/>
      <w:bookmarkEnd w:id="0"/>
      <w:r w:rsidRPr="000D2A63">
        <w:rPr>
          <w:rFonts w:ascii="Times New Roman" w:hAnsi="Times New Roman" w:cs="Times New Roman"/>
          <w:sz w:val="24"/>
          <w:szCs w:val="24"/>
        </w:rPr>
        <w:t>which result in:</w:t>
      </w:r>
    </w:p>
    <w:p w:rsidR="00C30A03" w:rsidRPr="000D2A63" w:rsidRDefault="00C30A03" w:rsidP="00C30A03">
      <w:pPr>
        <w:pStyle w:val="ListParagraph"/>
        <w:numPr>
          <w:ilvl w:val="0"/>
          <w:numId w:val="3"/>
        </w:numPr>
        <w:tabs>
          <w:tab w:val="left" w:pos="840"/>
        </w:tabs>
        <w:kinsoku w:val="0"/>
        <w:overflowPunct w:val="0"/>
      </w:pPr>
      <w:r w:rsidRPr="000D2A63">
        <w:t>A significant decline in physical, mental, or psychosocial function, or harm (that is not solely due to the normal progression of a disease or aging process), that is permanent or long-lasting; or</w:t>
      </w:r>
    </w:p>
    <w:p w:rsidR="00C30A03" w:rsidRPr="000D2A63" w:rsidRDefault="00C30A03" w:rsidP="00C30A03">
      <w:pPr>
        <w:pStyle w:val="ListParagraph"/>
        <w:numPr>
          <w:ilvl w:val="0"/>
          <w:numId w:val="3"/>
        </w:numPr>
        <w:tabs>
          <w:tab w:val="left" w:pos="840"/>
        </w:tabs>
        <w:kinsoku w:val="0"/>
        <w:overflowPunct w:val="0"/>
      </w:pPr>
      <w:r w:rsidRPr="000D2A63">
        <w:t>Avoidable pain that is excruciating and more than transient; or</w:t>
      </w:r>
    </w:p>
    <w:p w:rsidR="00C30A03" w:rsidRPr="000D2A63" w:rsidRDefault="00C30A03" w:rsidP="00C30A03">
      <w:pPr>
        <w:pStyle w:val="ListParagraph"/>
        <w:numPr>
          <w:ilvl w:val="0"/>
          <w:numId w:val="3"/>
        </w:numPr>
        <w:tabs>
          <w:tab w:val="left" w:pos="840"/>
        </w:tabs>
        <w:kinsoku w:val="0"/>
        <w:overflowPunct w:val="0"/>
      </w:pPr>
      <w:r w:rsidRPr="000D2A63">
        <w:t xml:space="preserve">Loss of limb, or disfigurement; or </w:t>
      </w:r>
    </w:p>
    <w:p w:rsidR="00C30A03" w:rsidRPr="000D2A63" w:rsidRDefault="00C30A03" w:rsidP="00C30A03">
      <w:pPr>
        <w:pStyle w:val="ListParagraph"/>
        <w:numPr>
          <w:ilvl w:val="0"/>
          <w:numId w:val="3"/>
        </w:numPr>
        <w:tabs>
          <w:tab w:val="left" w:pos="840"/>
        </w:tabs>
        <w:kinsoku w:val="0"/>
        <w:overflowPunct w:val="0"/>
      </w:pPr>
      <w:r w:rsidRPr="000D2A63">
        <w:t>Life-threatening complications/conditions, or death.</w:t>
      </w:r>
    </w:p>
    <w:p w:rsidR="001D080E" w:rsidRDefault="001D080E" w:rsidP="00C30A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0A03" w:rsidRDefault="001D080E" w:rsidP="00C30A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*NOTE: IJ does not require serious injury, harm, impairment or death to occur. It is sufficient that non-compliance makes serious injury, harm, impairment or death likely to occur to one or more recipients.</w:t>
      </w:r>
    </w:p>
    <w:p w:rsidR="001D080E" w:rsidRPr="000D2A63" w:rsidRDefault="001D080E" w:rsidP="00C30A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0A03" w:rsidRPr="000D2A63" w:rsidRDefault="00C30A03" w:rsidP="00C30A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A63">
        <w:rPr>
          <w:rFonts w:ascii="Times New Roman" w:hAnsi="Times New Roman" w:cs="Times New Roman"/>
          <w:b/>
          <w:bCs/>
          <w:sz w:val="24"/>
          <w:szCs w:val="24"/>
        </w:rPr>
        <w:t xml:space="preserve">Likely/Likelihood </w:t>
      </w:r>
      <w:r w:rsidRPr="000D2A63">
        <w:rPr>
          <w:rFonts w:ascii="Times New Roman" w:hAnsi="Times New Roman" w:cs="Times New Roman"/>
          <w:sz w:val="24"/>
          <w:szCs w:val="24"/>
        </w:rPr>
        <w:t>means the nature and/or extent of the identified noncompliance creates a reasonable expectation that an adverse outcome resulting in serious injury, harm, impairment, or death will occur if not corrected.</w:t>
      </w:r>
    </w:p>
    <w:p w:rsidR="00C30A03" w:rsidRPr="000D2A63" w:rsidRDefault="00C30A03" w:rsidP="00C30A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A03" w:rsidRDefault="00C30A03" w:rsidP="00C30A03">
      <w:pPr>
        <w:tabs>
          <w:tab w:val="left" w:pos="840"/>
        </w:tabs>
        <w:kinsoku w:val="0"/>
        <w:overflowPunct w:val="0"/>
        <w:ind w:right="580"/>
        <w:rPr>
          <w:rFonts w:ascii="Times New Roman" w:hAnsi="Times New Roman" w:cs="Times New Roman"/>
          <w:sz w:val="24"/>
          <w:szCs w:val="24"/>
        </w:rPr>
      </w:pPr>
      <w:r w:rsidRPr="000D2A63">
        <w:rPr>
          <w:rFonts w:ascii="Times New Roman" w:hAnsi="Times New Roman" w:cs="Times New Roman"/>
          <w:b/>
          <w:bCs/>
          <w:sz w:val="24"/>
          <w:szCs w:val="24"/>
        </w:rPr>
        <w:t xml:space="preserve">Recipient at Risk </w:t>
      </w:r>
      <w:r w:rsidRPr="000D2A63">
        <w:rPr>
          <w:rFonts w:ascii="Times New Roman" w:hAnsi="Times New Roman" w:cs="Times New Roman"/>
          <w:sz w:val="24"/>
          <w:szCs w:val="24"/>
        </w:rPr>
        <w:t>is a recipient who, as a result of noncompliance, and in consideration of the recipient’s physical, mental, psychosocial or health needs, and/or vulnerabilities, is likely to experience a serious adverse</w:t>
      </w:r>
      <w:r w:rsidRPr="000D2A63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0D2A63">
        <w:rPr>
          <w:rFonts w:ascii="Times New Roman" w:hAnsi="Times New Roman" w:cs="Times New Roman"/>
          <w:sz w:val="24"/>
          <w:szCs w:val="24"/>
        </w:rPr>
        <w:t>outcome.</w:t>
      </w:r>
    </w:p>
    <w:p w:rsidR="000D2A63" w:rsidRDefault="000D2A63" w:rsidP="00C30A03">
      <w:pPr>
        <w:tabs>
          <w:tab w:val="left" w:pos="840"/>
        </w:tabs>
        <w:kinsoku w:val="0"/>
        <w:overflowPunct w:val="0"/>
        <w:ind w:right="580"/>
        <w:rPr>
          <w:rFonts w:ascii="Times New Roman" w:hAnsi="Times New Roman" w:cs="Times New Roman"/>
          <w:sz w:val="24"/>
          <w:szCs w:val="24"/>
        </w:rPr>
      </w:pPr>
    </w:p>
    <w:p w:rsidR="000D2A63" w:rsidRDefault="000D2A63" w:rsidP="00C30A03">
      <w:pPr>
        <w:tabs>
          <w:tab w:val="left" w:pos="840"/>
        </w:tabs>
        <w:kinsoku w:val="0"/>
        <w:overflowPunct w:val="0"/>
        <w:ind w:right="580"/>
        <w:rPr>
          <w:rFonts w:ascii="Times New Roman" w:hAnsi="Times New Roman" w:cs="Times New Roman"/>
          <w:sz w:val="24"/>
          <w:szCs w:val="24"/>
        </w:rPr>
      </w:pPr>
    </w:p>
    <w:p w:rsidR="000D2A63" w:rsidRDefault="000D2A63" w:rsidP="00C30A03">
      <w:pPr>
        <w:tabs>
          <w:tab w:val="left" w:pos="840"/>
        </w:tabs>
        <w:kinsoku w:val="0"/>
        <w:overflowPunct w:val="0"/>
        <w:ind w:right="580"/>
        <w:rPr>
          <w:rFonts w:ascii="Times New Roman" w:hAnsi="Times New Roman" w:cs="Times New Roman"/>
          <w:sz w:val="24"/>
          <w:szCs w:val="24"/>
        </w:rPr>
      </w:pPr>
    </w:p>
    <w:p w:rsidR="000D2A63" w:rsidRDefault="000D2A63" w:rsidP="00C30A03">
      <w:pPr>
        <w:tabs>
          <w:tab w:val="left" w:pos="840"/>
        </w:tabs>
        <w:kinsoku w:val="0"/>
        <w:overflowPunct w:val="0"/>
        <w:ind w:right="580"/>
        <w:rPr>
          <w:rFonts w:ascii="Times New Roman" w:hAnsi="Times New Roman" w:cs="Times New Roman"/>
          <w:sz w:val="24"/>
          <w:szCs w:val="24"/>
        </w:rPr>
      </w:pPr>
    </w:p>
    <w:p w:rsidR="000D2A63" w:rsidRDefault="000D2A63" w:rsidP="00C30A03">
      <w:pPr>
        <w:tabs>
          <w:tab w:val="left" w:pos="840"/>
        </w:tabs>
        <w:kinsoku w:val="0"/>
        <w:overflowPunct w:val="0"/>
        <w:ind w:right="580"/>
        <w:rPr>
          <w:rFonts w:ascii="Times New Roman" w:hAnsi="Times New Roman" w:cs="Times New Roman"/>
          <w:sz w:val="24"/>
          <w:szCs w:val="24"/>
        </w:rPr>
      </w:pPr>
    </w:p>
    <w:p w:rsidR="000D2A63" w:rsidRDefault="000D2A63" w:rsidP="00C30A03">
      <w:pPr>
        <w:tabs>
          <w:tab w:val="left" w:pos="840"/>
        </w:tabs>
        <w:kinsoku w:val="0"/>
        <w:overflowPunct w:val="0"/>
        <w:ind w:right="580"/>
        <w:rPr>
          <w:rFonts w:ascii="Times New Roman" w:hAnsi="Times New Roman" w:cs="Times New Roman"/>
          <w:sz w:val="24"/>
          <w:szCs w:val="24"/>
        </w:rPr>
      </w:pPr>
    </w:p>
    <w:p w:rsidR="000D2A63" w:rsidRDefault="000D2A63" w:rsidP="00C30A03">
      <w:pPr>
        <w:tabs>
          <w:tab w:val="left" w:pos="840"/>
        </w:tabs>
        <w:kinsoku w:val="0"/>
        <w:overflowPunct w:val="0"/>
        <w:ind w:right="580"/>
        <w:rPr>
          <w:rFonts w:ascii="Times New Roman" w:hAnsi="Times New Roman" w:cs="Times New Roman"/>
          <w:sz w:val="24"/>
          <w:szCs w:val="24"/>
        </w:rPr>
      </w:pPr>
    </w:p>
    <w:p w:rsidR="000D2A63" w:rsidRPr="00724689" w:rsidRDefault="000D2A63" w:rsidP="005C0DEC">
      <w:pPr>
        <w:tabs>
          <w:tab w:val="left" w:pos="840"/>
        </w:tabs>
        <w:kinsoku w:val="0"/>
        <w:overflowPunct w:val="0"/>
        <w:ind w:right="5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4575"/>
        <w:gridCol w:w="950"/>
        <w:gridCol w:w="4825"/>
      </w:tblGrid>
      <w:tr w:rsidR="00C30A03" w:rsidRPr="00724689" w:rsidTr="00724689">
        <w:tc>
          <w:tcPr>
            <w:tcW w:w="4575" w:type="dxa"/>
            <w:shd w:val="clear" w:color="auto" w:fill="FFC000"/>
          </w:tcPr>
          <w:p w:rsidR="00C30A03" w:rsidRPr="00724689" w:rsidRDefault="00C30A03" w:rsidP="00C30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89">
              <w:rPr>
                <w:rFonts w:ascii="Times New Roman" w:hAnsi="Times New Roman" w:cs="Times New Roman"/>
                <w:b/>
                <w:sz w:val="24"/>
                <w:szCs w:val="24"/>
              </w:rPr>
              <w:t>IJ Component</w:t>
            </w:r>
          </w:p>
        </w:tc>
        <w:tc>
          <w:tcPr>
            <w:tcW w:w="950" w:type="dxa"/>
            <w:shd w:val="clear" w:color="auto" w:fill="FFC000"/>
          </w:tcPr>
          <w:p w:rsidR="00C30A03" w:rsidRPr="00724689" w:rsidRDefault="00C30A03" w:rsidP="00C30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89">
              <w:rPr>
                <w:rFonts w:ascii="Times New Roman" w:hAnsi="Times New Roman" w:cs="Times New Roman"/>
                <w:b/>
                <w:sz w:val="24"/>
                <w:szCs w:val="24"/>
              </w:rPr>
              <w:t>Yes/No</w:t>
            </w:r>
          </w:p>
        </w:tc>
        <w:tc>
          <w:tcPr>
            <w:tcW w:w="4825" w:type="dxa"/>
            <w:shd w:val="clear" w:color="auto" w:fill="FFC000"/>
          </w:tcPr>
          <w:p w:rsidR="00C30A03" w:rsidRPr="00724689" w:rsidRDefault="00C30A03" w:rsidP="00C30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89">
              <w:rPr>
                <w:rFonts w:ascii="Times New Roman" w:hAnsi="Times New Roman" w:cs="Times New Roman"/>
                <w:b/>
                <w:sz w:val="24"/>
                <w:szCs w:val="24"/>
              </w:rPr>
              <w:t>Preliminary fact analysis which demonstrates whether key component exists.</w:t>
            </w:r>
          </w:p>
        </w:tc>
      </w:tr>
      <w:tr w:rsidR="00C30A03" w:rsidRPr="000D2A63" w:rsidTr="00724689">
        <w:tc>
          <w:tcPr>
            <w:tcW w:w="4575" w:type="dxa"/>
          </w:tcPr>
          <w:p w:rsidR="00C30A03" w:rsidRPr="000D2A63" w:rsidRDefault="00C30A03" w:rsidP="00C30A03">
            <w:pPr>
              <w:pStyle w:val="TableParagraph"/>
              <w:kinsoku w:val="0"/>
              <w:overflowPunct w:val="0"/>
              <w:ind w:left="0" w:right="158"/>
              <w:rPr>
                <w:b/>
                <w:bCs/>
              </w:rPr>
            </w:pPr>
            <w:r w:rsidRPr="000D2A63">
              <w:rPr>
                <w:b/>
                <w:bCs/>
              </w:rPr>
              <w:t xml:space="preserve">Noncompliance </w:t>
            </w:r>
            <w:r w:rsidRPr="000D2A63">
              <w:rPr>
                <w:bCs/>
              </w:rPr>
              <w:t>means failure to meet one or more federal health, safety, and/or quality regulations.</w:t>
            </w:r>
          </w:p>
          <w:p w:rsidR="005C0DEC" w:rsidRPr="000D2A63" w:rsidRDefault="005C0DEC" w:rsidP="005C0DEC">
            <w:pPr>
              <w:pStyle w:val="TableParagraph"/>
              <w:kinsoku w:val="0"/>
              <w:overflowPunct w:val="0"/>
              <w:ind w:left="0" w:right="158"/>
              <w:rPr>
                <w:b/>
                <w:bCs/>
              </w:rPr>
            </w:pPr>
          </w:p>
          <w:p w:rsidR="00C30A03" w:rsidRPr="000D2A63" w:rsidRDefault="00C30A03" w:rsidP="00C3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Does this scenario contain evidence of noncompliance?</w:t>
            </w:r>
          </w:p>
        </w:tc>
        <w:tc>
          <w:tcPr>
            <w:tcW w:w="950" w:type="dxa"/>
          </w:tcPr>
          <w:p w:rsidR="00C30A03" w:rsidRPr="000D2A63" w:rsidRDefault="00C30A03" w:rsidP="00C3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C30A03" w:rsidRPr="000D2A63" w:rsidRDefault="00C30A03" w:rsidP="00C3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89" w:rsidRPr="000D2A63" w:rsidTr="00724689">
        <w:tc>
          <w:tcPr>
            <w:tcW w:w="10350" w:type="dxa"/>
            <w:gridSpan w:val="3"/>
            <w:shd w:val="clear" w:color="auto" w:fill="9CC2E5" w:themeFill="accent1" w:themeFillTint="99"/>
          </w:tcPr>
          <w:p w:rsidR="00724689" w:rsidRPr="00724689" w:rsidRDefault="00724689" w:rsidP="0072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</w:p>
        </w:tc>
      </w:tr>
      <w:tr w:rsidR="00C30A03" w:rsidRPr="000D2A63" w:rsidTr="00724689">
        <w:tc>
          <w:tcPr>
            <w:tcW w:w="4575" w:type="dxa"/>
          </w:tcPr>
          <w:p w:rsidR="00C30A03" w:rsidRPr="000D2A63" w:rsidRDefault="00C30A03" w:rsidP="00C30A03">
            <w:pPr>
              <w:pStyle w:val="TableParagraph"/>
              <w:kinsoku w:val="0"/>
              <w:overflowPunct w:val="0"/>
              <w:ind w:right="95"/>
            </w:pPr>
            <w:r w:rsidRPr="000D2A63">
              <w:rPr>
                <w:b/>
              </w:rPr>
              <w:t xml:space="preserve">Serious injury, serious harm, serious impairment or death </w:t>
            </w:r>
            <w:r w:rsidRPr="000D2A63">
              <w:t>are adverse outcomes which result in:</w:t>
            </w:r>
          </w:p>
          <w:p w:rsidR="005C0DEC" w:rsidRDefault="005C0DEC" w:rsidP="005C0DEC">
            <w:pPr>
              <w:pStyle w:val="TableParagraph"/>
              <w:kinsoku w:val="0"/>
              <w:overflowPunct w:val="0"/>
              <w:ind w:left="517" w:right="95"/>
            </w:pPr>
          </w:p>
          <w:p w:rsidR="00C30A03" w:rsidRPr="000D2A63" w:rsidRDefault="00C30A03" w:rsidP="000D2A63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ind w:left="517" w:right="95"/>
            </w:pPr>
            <w:r w:rsidRPr="000D2A63">
              <w:t>A significant decline in physical, mental, or psychosocial function, or harm (that is not solely due to the normal progression of a disease or aging process), that is permanent or long-lasting; or</w:t>
            </w:r>
          </w:p>
          <w:p w:rsidR="00C30A03" w:rsidRPr="000D2A63" w:rsidRDefault="00C30A03" w:rsidP="000D2A6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17" w:right="0"/>
              <w:contextualSpacing/>
            </w:pPr>
            <w:r w:rsidRPr="000D2A63">
              <w:t>Avoidable pain that is excruciating, and more than transient; or</w:t>
            </w:r>
          </w:p>
          <w:p w:rsidR="00C30A03" w:rsidRPr="000D2A63" w:rsidRDefault="00C30A03" w:rsidP="000D2A6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17" w:right="0"/>
              <w:contextualSpacing/>
            </w:pPr>
            <w:r w:rsidRPr="000D2A63">
              <w:t xml:space="preserve">Loss of limb, or disfigurement; or </w:t>
            </w:r>
          </w:p>
          <w:p w:rsidR="00C30A03" w:rsidRPr="000D2A63" w:rsidRDefault="00C30A03" w:rsidP="000D2A6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517" w:right="0"/>
              <w:contextualSpacing/>
            </w:pPr>
            <w:r w:rsidRPr="000D2A63">
              <w:t>Life-threatening complications/conditions, or death.</w:t>
            </w:r>
          </w:p>
          <w:p w:rsidR="001D080E" w:rsidRPr="000D2A63" w:rsidRDefault="001D080E" w:rsidP="00C30A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C30A03" w:rsidRPr="000D2A63" w:rsidRDefault="00C30A03" w:rsidP="005C0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Does this scenario contain evidence that there was a serious adverse outcome, or a serious adverse outcome </w:t>
            </w:r>
            <w:r w:rsidR="005C0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 or was </w:t>
            </w:r>
            <w:r w:rsidRPr="000D2A63">
              <w:rPr>
                <w:rFonts w:ascii="Times New Roman" w:hAnsi="Times New Roman" w:cs="Times New Roman"/>
                <w:b/>
                <w:sz w:val="24"/>
                <w:szCs w:val="24"/>
              </w:rPr>
              <w:t>likely</w:t>
            </w:r>
            <w:r w:rsidR="001D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 a result of the noncompliance</w:t>
            </w:r>
            <w:r w:rsidRPr="000D2A6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C30A03" w:rsidRPr="000D2A63" w:rsidRDefault="00C30A03" w:rsidP="00C3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C30A03" w:rsidRPr="000D2A63" w:rsidRDefault="00C30A03" w:rsidP="00C3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C30A03" w:rsidRPr="000D2A63" w:rsidRDefault="00C30A03" w:rsidP="00C3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89" w:rsidRPr="000D2A63" w:rsidTr="00724689">
        <w:tc>
          <w:tcPr>
            <w:tcW w:w="10350" w:type="dxa"/>
            <w:gridSpan w:val="3"/>
            <w:shd w:val="clear" w:color="auto" w:fill="9CC2E5" w:themeFill="accent1" w:themeFillTint="99"/>
          </w:tcPr>
          <w:p w:rsidR="00724689" w:rsidRPr="00724689" w:rsidRDefault="00724689" w:rsidP="0072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89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</w:p>
        </w:tc>
      </w:tr>
      <w:tr w:rsidR="000D2A63" w:rsidRPr="000D2A63" w:rsidTr="00724689">
        <w:tc>
          <w:tcPr>
            <w:tcW w:w="4575" w:type="dxa"/>
          </w:tcPr>
          <w:p w:rsidR="000D2A63" w:rsidRPr="000D2A63" w:rsidRDefault="000D2A63" w:rsidP="000D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Need for Immediate Action: </w:t>
            </w:r>
            <w:r w:rsidRPr="000D2A63">
              <w:rPr>
                <w:rFonts w:ascii="Times New Roman" w:hAnsi="Times New Roman" w:cs="Times New Roman"/>
                <w:sz w:val="24"/>
                <w:szCs w:val="24"/>
              </w:rPr>
              <w:t>The noncompliance creates a need for immediate corrective action by the provider/supplier to prevent serious injury, serious harm, serious impairment or death from occurring or recurring.</w:t>
            </w:r>
          </w:p>
          <w:p w:rsidR="000D2A63" w:rsidRPr="000D2A63" w:rsidRDefault="000D2A63" w:rsidP="000D2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63" w:rsidRPr="000D2A63" w:rsidRDefault="000D2A63" w:rsidP="000D2A63">
            <w:pPr>
              <w:pStyle w:val="NoSpacing"/>
              <w:rPr>
                <w:rFonts w:cs="Times New Roman"/>
                <w:b/>
                <w:szCs w:val="24"/>
              </w:rPr>
            </w:pPr>
            <w:r w:rsidRPr="000D2A63">
              <w:rPr>
                <w:rFonts w:cs="Times New Roman"/>
                <w:b/>
                <w:szCs w:val="24"/>
              </w:rPr>
              <w:t>Does this scenario contain evidence that there was a need for immediate action by the provider/supplier to prevent the occurrence or reoccurrence of a serious adverse outcome?</w:t>
            </w:r>
          </w:p>
          <w:p w:rsidR="000D2A63" w:rsidRPr="000D2A63" w:rsidRDefault="000D2A63" w:rsidP="000D2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D2A63" w:rsidRPr="000D2A63" w:rsidRDefault="000D2A63" w:rsidP="000D2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0D2A63" w:rsidRPr="000D2A63" w:rsidRDefault="000D2A63" w:rsidP="000D2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A03" w:rsidRPr="000D2A63" w:rsidRDefault="00C30A03" w:rsidP="00C30A0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30A03" w:rsidRPr="000D2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B50E4938"/>
    <w:lvl w:ilvl="0">
      <w:numFmt w:val="bullet"/>
      <w:lvlText w:val=""/>
      <w:lvlJc w:val="left"/>
      <w:pPr>
        <w:ind w:left="900" w:hanging="360"/>
      </w:pPr>
      <w:rPr>
        <w:strike w:val="0"/>
        <w:w w:val="100"/>
      </w:rPr>
    </w:lvl>
    <w:lvl w:ilvl="1">
      <w:numFmt w:val="bullet"/>
      <w:lvlText w:val="•"/>
      <w:lvlJc w:val="left"/>
      <w:pPr>
        <w:ind w:left="1840" w:hanging="360"/>
      </w:pPr>
    </w:lvl>
    <w:lvl w:ilvl="2">
      <w:numFmt w:val="bullet"/>
      <w:lvlText w:val="•"/>
      <w:lvlJc w:val="left"/>
      <w:pPr>
        <w:ind w:left="2870" w:hanging="360"/>
      </w:pPr>
    </w:lvl>
    <w:lvl w:ilvl="3">
      <w:numFmt w:val="bullet"/>
      <w:lvlText w:val="•"/>
      <w:lvlJc w:val="left"/>
      <w:pPr>
        <w:ind w:left="3900" w:hanging="360"/>
      </w:pPr>
    </w:lvl>
    <w:lvl w:ilvl="4">
      <w:numFmt w:val="bullet"/>
      <w:lvlText w:val="•"/>
      <w:lvlJc w:val="left"/>
      <w:pPr>
        <w:ind w:left="4930" w:hanging="360"/>
      </w:pPr>
    </w:lvl>
    <w:lvl w:ilvl="5">
      <w:numFmt w:val="bullet"/>
      <w:lvlText w:val="•"/>
      <w:lvlJc w:val="left"/>
      <w:pPr>
        <w:ind w:left="5960" w:hanging="360"/>
      </w:pPr>
    </w:lvl>
    <w:lvl w:ilvl="6">
      <w:numFmt w:val="bullet"/>
      <w:lvlText w:val="•"/>
      <w:lvlJc w:val="left"/>
      <w:pPr>
        <w:ind w:left="6990" w:hanging="360"/>
      </w:pPr>
    </w:lvl>
    <w:lvl w:ilvl="7">
      <w:numFmt w:val="bullet"/>
      <w:lvlText w:val="•"/>
      <w:lvlJc w:val="left"/>
      <w:pPr>
        <w:ind w:left="8020" w:hanging="360"/>
      </w:pPr>
    </w:lvl>
    <w:lvl w:ilvl="8">
      <w:numFmt w:val="bullet"/>
      <w:lvlText w:val="•"/>
      <w:lvlJc w:val="left"/>
      <w:pPr>
        <w:ind w:left="9050" w:hanging="360"/>
      </w:pPr>
    </w:lvl>
  </w:abstractNum>
  <w:abstractNum w:abstractNumId="1" w15:restartNumberingAfterBreak="0">
    <w:nsid w:val="1AA13765"/>
    <w:multiLevelType w:val="hybridMultilevel"/>
    <w:tmpl w:val="D728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26064"/>
    <w:multiLevelType w:val="hybridMultilevel"/>
    <w:tmpl w:val="590E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23052"/>
    <w:multiLevelType w:val="hybridMultilevel"/>
    <w:tmpl w:val="C70495E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03"/>
    <w:rsid w:val="000D2A63"/>
    <w:rsid w:val="001D080E"/>
    <w:rsid w:val="0025428D"/>
    <w:rsid w:val="005C0DEC"/>
    <w:rsid w:val="00724689"/>
    <w:rsid w:val="00B21AF8"/>
    <w:rsid w:val="00C21725"/>
    <w:rsid w:val="00C3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39182-77B1-4A8E-82D5-FA47DC0E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0A03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30A03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C30A03"/>
    <w:pPr>
      <w:widowControl w:val="0"/>
      <w:autoSpaceDE w:val="0"/>
      <w:autoSpaceDN w:val="0"/>
      <w:adjustRightInd w:val="0"/>
      <w:spacing w:after="0" w:line="240" w:lineRule="auto"/>
      <w:ind w:left="839" w:right="396" w:hanging="359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30A03"/>
    <w:pPr>
      <w:widowControl w:val="0"/>
      <w:autoSpaceDE w:val="0"/>
      <w:autoSpaceDN w:val="0"/>
      <w:adjustRightInd w:val="0"/>
      <w:spacing w:after="0" w:line="240" w:lineRule="auto"/>
      <w:ind w:left="103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D2A63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LYONS</dc:creator>
  <cp:keywords/>
  <dc:description/>
  <cp:lastModifiedBy>Lisa Tripp</cp:lastModifiedBy>
  <cp:revision>3</cp:revision>
  <dcterms:created xsi:type="dcterms:W3CDTF">2018-09-07T18:05:00Z</dcterms:created>
  <dcterms:modified xsi:type="dcterms:W3CDTF">2018-09-18T17:44:00Z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121623400</vt:i4>
  </property>
  <property fmtid="{D5CDD505-2E9C-101B-9397-08002B2CF9AE}" pid="3" name="_NewReviewCycle">
    <vt:lpwstr/>
  </property>
  <property fmtid="{D5CDD505-2E9C-101B-9397-08002B2CF9AE}" pid="4" name="_EmailSubject">
    <vt:lpwstr>CMS Slides and Materials- Complete: AHFSA</vt:lpwstr>
  </property>
  <property fmtid="{D5CDD505-2E9C-101B-9397-08002B2CF9AE}" pid="5" name="_AuthorEmail">
    <vt:lpwstr>Caecilia.Blondiaux@cms.hhs.gov</vt:lpwstr>
  </property>
  <property fmtid="{D5CDD505-2E9C-101B-9397-08002B2CF9AE}" pid="6" name="_AuthorEmailDisplayName">
    <vt:lpwstr>Blondiaux, Caecilia J. (CMS/CCSQ)</vt:lpwstr>
  </property>
  <property fmtid="{D5CDD505-2E9C-101B-9397-08002B2CF9AE}" pid="7" name="_PreviousAdHocReviewCycleID">
    <vt:i4>-1102440485</vt:i4>
  </property>
</Properties>
</file>